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24 238 vom 19. Juni 2025</w:t>
      </w:r>
    </w:p>
    <w:p>
      <w:r>
        <w:t>BL Gerichte, 2025-06-19, DE</w:t>
      </w:r>
    </w:p>
    <w:p>
      <w:r>
        <w:rPr>
          <w:b/>
        </w:rPr>
        <w:t xml:space="preserve">Quelle: </w:t>
      </w:r>
      <w:r>
        <w:t>https://mcp.opencaselaw.ch/entscheid/bl_gerichte_720 24 238</w:t>
      </w:r>
    </w:p>
    <w:p>
      <w:r>
        <w:t>FR: BL_GERICHTE 720 24 238 du 19 juin 2025</w:t>
      </w:r>
    </w:p>
    <w:p>
      <w:r>
        <w:t>IT: BL_GERICHTE 720 24 238 del 19 giugno 2025</w:t>
      </w:r>
    </w:p>
    <w:p>
      <w:pPr>
        <w:pStyle w:val="Heading2"/>
      </w:pPr>
      <w:r>
        <w:t>Regeste</w:t>
      </w:r>
    </w:p>
    <w:p>
      <w:r>
        <w:t>Gutachten aufgrund fehlender Tonaufnahme formell mangelhaft, neue Begutachtung erforderlich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IV-Stelle Basel-Landschaft wird verpflichtet, das Gutachten von Dr. med. D. vom 23. Mai 2023 aus den Akten zu entfernen.</w:t>
      </w:r>
    </w:p>
    <w:p>
      <w:r>
        <w:rPr>
          <w:b/>
        </w:rPr>
        <w:t>E. 3</w:t>
      </w:r>
    </w:p>
    <w:p>
      <w:r>
        <w:t>Die Verfahrenskosten in der Höhe von Fr. 800.-- werden der IV-Stelle Basel-Landschaft auferlegt. Der von der Beschwerdeführerin bezahlte Kostenvorschuss in der Höhe von Fr. 800.-- wird zurückerstattet.</w:t>
      </w:r>
    </w:p>
    <w:p>
      <w:r>
        <w:rPr>
          <w:b/>
        </w:rPr>
        <w:t>E. 4</w:t>
      </w:r>
    </w:p>
    <w:p>
      <w:r>
        <w:t>Die IV-Stelle Basel-Landschaft wird verpflichtet, der Beschwerdeführerin eine Parteientschädigung in der Höhe von Fr. 3'700.-- (inkl. Auslagen)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